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0441" w14:textId="03477699" w:rsidR="0054505A" w:rsidRDefault="0054505A" w:rsidP="0054505A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Regulatory</w:t>
      </w:r>
      <w:r w:rsidR="00443622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3776BD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/ Managed Care </w:t>
      </w:r>
      <w:r w:rsidR="00443622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Litigation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Attorney (Associate or Of Counsel)</w:t>
      </w:r>
    </w:p>
    <w:p w14:paraId="2D03121F" w14:textId="77777777" w:rsidR="0054505A" w:rsidRDefault="0054505A" w:rsidP="0054505A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533B8F0A" w14:textId="4FED38BF" w:rsidR="007D4504" w:rsidRDefault="007D4504" w:rsidP="0054505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</w:rPr>
        <w:t>Athene Law is</w:t>
      </w:r>
      <w:r w:rsidRPr="005F7CD9">
        <w:rPr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</w:rPr>
        <w:t xml:space="preserve"> looking for a </w:t>
      </w:r>
      <w:r w:rsidR="00443622">
        <w:rPr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</w:rPr>
        <w:t xml:space="preserve">litigation </w:t>
      </w:r>
      <w:r w:rsidRPr="005F7CD9">
        <w:rPr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</w:rPr>
        <w:t>attorney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(Associate or Of Counsel) to work on an array of regulatory</w:t>
      </w:r>
      <w:r w:rsidR="0061792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and </w:t>
      </w:r>
      <w:r w:rsidR="00B4782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managed care </w:t>
      </w:r>
      <w:r w:rsidR="0061792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litigation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matters.  Our practice areas include administrative litigation in complex Medi-Cal and Medicare reimbursement matters, defense of government and private payor audits, regulatory compliance matters, </w:t>
      </w:r>
      <w:r w:rsidR="00432FD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legislation and lobbying,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transactional support, and managed care litigation.  California licensure preferred.</w:t>
      </w:r>
    </w:p>
    <w:p w14:paraId="16543370" w14:textId="77777777" w:rsidR="007D4504" w:rsidRDefault="007D4504" w:rsidP="0054505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</w:rPr>
      </w:pPr>
    </w:p>
    <w:p w14:paraId="69DB074D" w14:textId="2EEB5CCF" w:rsidR="0054505A" w:rsidRDefault="0054505A" w:rsidP="0054505A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</w:rPr>
        <w:t>About Us</w:t>
      </w:r>
    </w:p>
    <w:p w14:paraId="12B3FF39" w14:textId="77777777" w:rsidR="0054505A" w:rsidRDefault="0054505A" w:rsidP="0054505A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1E52F6EA" w14:textId="11AE58DA" w:rsidR="0054505A" w:rsidRDefault="0054505A" w:rsidP="0054505A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Athene Law, LLP</w:t>
      </w:r>
      <w:r w:rsidR="00243CE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upends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the traditional law firm model by combining </w:t>
      </w:r>
      <w:r w:rsidR="005C365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elite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health </w:t>
      </w:r>
      <w:r w:rsidR="005C365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care expertise </w:t>
      </w:r>
      <w:r w:rsidR="00DE4D0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with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 virtual legal practice.  </w:t>
      </w:r>
      <w:r w:rsidR="00DE4D0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Our lawyers and staff are located all over California and in </w:t>
      </w:r>
      <w:r w:rsidR="00FB391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other </w:t>
      </w:r>
      <w:r w:rsidR="00DE4D0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states</w:t>
      </w:r>
      <w:r w:rsidR="0044362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, but work seamlessly as one team.  </w:t>
      </w:r>
      <w:r w:rsidR="00B4782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We</w:t>
      </w:r>
      <w:r w:rsidR="0044362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provide health care providers with the tools to adapt 20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century rules to a 21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century delivery system.  We offer competitive compensation, adjusting for a reasonable expectation of 1650 billable hours annually, with health and retirement benefits.</w:t>
      </w:r>
    </w:p>
    <w:p w14:paraId="37E83465" w14:textId="77777777" w:rsidR="0054505A" w:rsidRDefault="0054505A" w:rsidP="0054505A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622EE7F2" w14:textId="77777777" w:rsidR="0054505A" w:rsidRDefault="0054505A" w:rsidP="0054505A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</w:rPr>
        <w:t>About You</w:t>
      </w:r>
    </w:p>
    <w:p w14:paraId="3C852646" w14:textId="77777777" w:rsidR="0054505A" w:rsidRDefault="0054505A" w:rsidP="0054505A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5B1A32D4" w14:textId="200C5421" w:rsidR="0054505A" w:rsidRDefault="0054505A" w:rsidP="0054505A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You are a smart, motivated attorney with experience representing healthcare providers.  You are naturally inquisitive in healthcare matters, but </w:t>
      </w:r>
      <w:proofErr w:type="gramStart"/>
      <w:r w:rsidR="00F60D9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don’t</w:t>
      </w:r>
      <w:proofErr w:type="gramEnd"/>
      <w:r w:rsidR="00F60D9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go down rabbit holes; thus, you are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able to provide high-quality results efficiently.  You are </w:t>
      </w:r>
      <w:r w:rsidR="00F60D9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also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open to new experiences and have the flexibility to develop expertise in new and evolving areas of health law.  </w:t>
      </w:r>
      <w:r w:rsidR="00B7658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The following terms likely describe you: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gramStart"/>
      <w:r w:rsidR="00144F3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detail-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oriented</w:t>
      </w:r>
      <w:proofErr w:type="gramEnd"/>
      <w:r w:rsidR="00B7658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;</w:t>
      </w:r>
      <w:r w:rsidR="00F60D9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B7658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self-starter; </w:t>
      </w:r>
      <w:r w:rsidR="00F60D9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team player</w:t>
      </w:r>
      <w:r w:rsidR="00B7658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;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proactive communicator.  </w:t>
      </w:r>
      <w:r w:rsidR="0025758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Ideally, </w:t>
      </w:r>
      <w:r w:rsidR="00B7658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y</w:t>
      </w:r>
      <w:r w:rsidR="0061792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ou have at</w:t>
      </w:r>
      <w:r w:rsidR="009E75D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least 3-5 years of litigation experience</w:t>
      </w:r>
      <w:r w:rsidR="0061792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under your belt. </w:t>
      </w:r>
      <w:r w:rsidR="009E75D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 solid understanding and appreciation of administrative and constitutional law is </w:t>
      </w:r>
      <w:r w:rsidR="00EE569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tremendous plus.  </w:t>
      </w:r>
      <w:r w:rsidR="0025758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Above all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you are committed to our shared vision</w:t>
      </w:r>
      <w:r w:rsidR="0025758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of </w:t>
      </w:r>
      <w:r w:rsidR="00F67FA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integrat</w:t>
      </w:r>
      <w:r w:rsidR="0025758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ing</w:t>
      </w:r>
      <w:r w:rsidR="00F67FA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excellence in representing healthcare providers with a flexible</w:t>
      </w:r>
      <w:r w:rsidR="00F67FA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, </w:t>
      </w:r>
      <w:r w:rsidR="0025758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humane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schedule. </w:t>
      </w:r>
    </w:p>
    <w:p w14:paraId="171CE255" w14:textId="77777777" w:rsidR="0054505A" w:rsidRDefault="0054505A" w:rsidP="0054505A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4A239F42" w14:textId="77777777" w:rsidR="0054505A" w:rsidRDefault="0054505A" w:rsidP="0054505A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We welcome people from all backgrounds who seek the opportunity to help build a team of excellent and well-rounded lawyers. If you have passion,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imagination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and collaborative spirit, we look forward to the opportunity to work with you.</w:t>
      </w:r>
    </w:p>
    <w:p w14:paraId="53A192A6" w14:textId="77777777" w:rsidR="0054505A" w:rsidRDefault="0054505A" w:rsidP="0054505A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3F0F93E5" w14:textId="02116391" w:rsidR="00424F29" w:rsidRPr="0048149D" w:rsidRDefault="0054505A" w:rsidP="0048149D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Interested candidates may submit their cover letters and resumes to 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admin@athenelaw.com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 </w:t>
      </w:r>
    </w:p>
    <w:sectPr w:rsidR="00424F29" w:rsidRPr="00481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C8"/>
    <w:rsid w:val="00013584"/>
    <w:rsid w:val="00143146"/>
    <w:rsid w:val="00144F3F"/>
    <w:rsid w:val="00243CE0"/>
    <w:rsid w:val="00257580"/>
    <w:rsid w:val="003776BD"/>
    <w:rsid w:val="00424F29"/>
    <w:rsid w:val="00432FDE"/>
    <w:rsid w:val="00443622"/>
    <w:rsid w:val="0048149D"/>
    <w:rsid w:val="0054505A"/>
    <w:rsid w:val="005C3658"/>
    <w:rsid w:val="005F7CD9"/>
    <w:rsid w:val="00617927"/>
    <w:rsid w:val="006B1FC8"/>
    <w:rsid w:val="007D4504"/>
    <w:rsid w:val="009E75DA"/>
    <w:rsid w:val="00B4782F"/>
    <w:rsid w:val="00B76584"/>
    <w:rsid w:val="00DE4D03"/>
    <w:rsid w:val="00EE569B"/>
    <w:rsid w:val="00F60D97"/>
    <w:rsid w:val="00F67FAA"/>
    <w:rsid w:val="00F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4AA5"/>
  <w15:chartTrackingRefBased/>
  <w15:docId w15:val="{4AF96C58-68AA-4E36-923B-5E2BD28F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B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1FC8"/>
    <w:rPr>
      <w:color w:val="0000FF"/>
      <w:u w:val="single"/>
    </w:rPr>
  </w:style>
  <w:style w:type="paragraph" w:customStyle="1" w:styleId="xxmsonormal">
    <w:name w:val="x_xmsonormal"/>
    <w:basedOn w:val="Normal"/>
    <w:rsid w:val="0054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athene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Eric Chan</cp:lastModifiedBy>
  <cp:revision>6</cp:revision>
  <dcterms:created xsi:type="dcterms:W3CDTF">2022-04-07T23:38:00Z</dcterms:created>
  <dcterms:modified xsi:type="dcterms:W3CDTF">2022-04-08T23:22:00Z</dcterms:modified>
</cp:coreProperties>
</file>