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96" w:rsidRPr="00625B6B" w:rsidRDefault="008E5496" w:rsidP="008E5496">
      <w:pPr>
        <w:jc w:val="center"/>
        <w:rPr>
          <w:rFonts w:eastAsia="Times New Roman"/>
          <w:bCs/>
          <w:smallCaps/>
          <w:szCs w:val="20"/>
        </w:rPr>
      </w:pPr>
      <w:r w:rsidRPr="00625B6B">
        <w:rPr>
          <w:rFonts w:eastAsia="Times New Roman"/>
          <w:bCs/>
          <w:smallCaps/>
          <w:szCs w:val="20"/>
        </w:rPr>
        <w:t>University of California Office of the President (UCOP)</w:t>
      </w:r>
    </w:p>
    <w:p w:rsidR="008E5496" w:rsidRPr="00625B6B" w:rsidRDefault="006C2513" w:rsidP="008E5496">
      <w:pPr>
        <w:jc w:val="center"/>
        <w:rPr>
          <w:rFonts w:eastAsia="Times New Roman"/>
          <w:b/>
          <w:bCs/>
          <w:smallCaps/>
          <w:szCs w:val="20"/>
        </w:rPr>
      </w:pPr>
      <w:r w:rsidRPr="00625B6B">
        <w:rPr>
          <w:rFonts w:eastAsia="Times New Roman"/>
          <w:b/>
          <w:bCs/>
          <w:smallCaps/>
          <w:szCs w:val="20"/>
        </w:rPr>
        <w:t>Principal Counsel Health Regulatory - #45316</w:t>
      </w:r>
    </w:p>
    <w:p w:rsidR="008E5496" w:rsidRPr="00625B6B" w:rsidRDefault="008E5496" w:rsidP="008E5496">
      <w:pPr>
        <w:jc w:val="center"/>
        <w:rPr>
          <w:rFonts w:eastAsia="Times New Roman"/>
          <w:bCs/>
          <w:smallCaps/>
          <w:szCs w:val="20"/>
        </w:rPr>
      </w:pPr>
      <w:r w:rsidRPr="00625B6B">
        <w:rPr>
          <w:rFonts w:eastAsia="Times New Roman"/>
          <w:bCs/>
          <w:smallCaps/>
          <w:szCs w:val="20"/>
        </w:rPr>
        <w:t>Position Description</w:t>
      </w:r>
    </w:p>
    <w:p w:rsidR="008E5496" w:rsidRPr="00625B6B" w:rsidRDefault="004C76F5" w:rsidP="008E5496">
      <w:pPr>
        <w:jc w:val="center"/>
        <w:rPr>
          <w:rFonts w:eastAsia="Times New Roman"/>
          <w:b/>
          <w:bCs/>
          <w:szCs w:val="20"/>
        </w:rPr>
      </w:pPr>
      <w:r w:rsidRPr="00625B6B">
        <w:rPr>
          <w:rFonts w:eastAsia="Times New Roman"/>
          <w:bCs/>
          <w:szCs w:val="20"/>
        </w:rPr>
        <w:t>11/</w:t>
      </w:r>
      <w:r w:rsidR="006C2513" w:rsidRPr="00625B6B">
        <w:rPr>
          <w:rFonts w:eastAsia="Times New Roman"/>
          <w:bCs/>
          <w:szCs w:val="20"/>
        </w:rPr>
        <w:t>18</w:t>
      </w:r>
      <w:r w:rsidRPr="00625B6B">
        <w:rPr>
          <w:rFonts w:eastAsia="Times New Roman"/>
          <w:bCs/>
          <w:szCs w:val="20"/>
        </w:rPr>
        <w:t>/22</w:t>
      </w:r>
    </w:p>
    <w:p w:rsidR="008E5496" w:rsidRPr="00625B6B" w:rsidRDefault="008E5496" w:rsidP="008E5496">
      <w:pPr>
        <w:jc w:val="center"/>
        <w:rPr>
          <w:rFonts w:eastAsia="Times New Roman"/>
          <w:b/>
          <w:bCs/>
          <w:szCs w:val="20"/>
        </w:rPr>
      </w:pPr>
    </w:p>
    <w:p w:rsidR="008E5496" w:rsidRPr="00625B6B" w:rsidRDefault="008E5496" w:rsidP="002A3897">
      <w:pPr>
        <w:rPr>
          <w:rFonts w:eastAsia="Times New Roman"/>
          <w:szCs w:val="20"/>
        </w:rPr>
      </w:pPr>
      <w:r w:rsidRPr="00625B6B">
        <w:rPr>
          <w:rFonts w:eastAsia="Times New Roman"/>
          <w:bCs/>
          <w:szCs w:val="20"/>
        </w:rPr>
        <w:t>For UCOP internal applicants, please login to the internal candidate gateway at:</w:t>
      </w:r>
      <w:r w:rsidRPr="00625B6B">
        <w:rPr>
          <w:rFonts w:eastAsia="Times New Roman"/>
          <w:szCs w:val="20"/>
        </w:rPr>
        <w:t xml:space="preserve"> </w:t>
      </w:r>
      <w:hyperlink r:id="rId7" w:history="1">
        <w:r w:rsidRPr="00625B6B">
          <w:rPr>
            <w:rFonts w:eastAsia="Times New Roman"/>
            <w:color w:val="0000FF"/>
            <w:szCs w:val="20"/>
            <w:u w:val="single"/>
          </w:rPr>
          <w:t>Jobs at UCOP</w:t>
        </w:r>
      </w:hyperlink>
      <w:r w:rsidRPr="00625B6B">
        <w:rPr>
          <w:rFonts w:eastAsia="Times New Roman"/>
          <w:szCs w:val="20"/>
        </w:rPr>
        <w:t>  </w:t>
      </w:r>
    </w:p>
    <w:p w:rsidR="008E5496" w:rsidRPr="00625B6B" w:rsidRDefault="008E5496" w:rsidP="002A3897">
      <w:pPr>
        <w:rPr>
          <w:rFonts w:eastAsia="Times New Roman"/>
          <w:szCs w:val="20"/>
        </w:rPr>
      </w:pPr>
    </w:p>
    <w:p w:rsidR="00487B55" w:rsidRPr="00625B6B" w:rsidRDefault="004D0865" w:rsidP="002A3897">
      <w:pPr>
        <w:rPr>
          <w:rFonts w:eastAsia="Times New Roman"/>
          <w:color w:val="0000FF"/>
          <w:szCs w:val="20"/>
          <w:u w:val="single"/>
        </w:rPr>
      </w:pPr>
      <w:r w:rsidRPr="00625B6B">
        <w:rPr>
          <w:rFonts w:eastAsia="Times New Roman"/>
          <w:b/>
          <w:bCs/>
          <w:szCs w:val="20"/>
        </w:rPr>
        <w:t xml:space="preserve">UC OFFICE OF THE PRESIDENT </w:t>
      </w:r>
      <w:r w:rsidRPr="00625B6B">
        <w:rPr>
          <w:rFonts w:eastAsia="Times New Roman"/>
          <w:b/>
          <w:bCs/>
          <w:szCs w:val="20"/>
        </w:rPr>
        <w:br/>
      </w:r>
      <w:r w:rsidRPr="00625B6B">
        <w:rPr>
          <w:rFonts w:eastAsia="Times New Roman"/>
          <w:b/>
          <w:bCs/>
          <w:szCs w:val="20"/>
        </w:rPr>
        <w:br/>
      </w:r>
      <w:r w:rsidRPr="00625B6B">
        <w:rPr>
          <w:rFonts w:eastAsia="Times New Roman"/>
          <w:szCs w:val="20"/>
        </w:rPr>
        <w:t xml:space="preserve">At the University of California (UC), your contributions make a difference. A world leader producing Nobel and Pulitzer prize recipients with over 150 years of groundbreaking research transforming the world. Choose a career where you can leverage your knowledge, skills and aspirations to inspire and support some of the greatest minds in the world, and those who will follow in their footsteps. Working at the University of California is being part of a unique institution, and a vibrant and diverse community. At the University of California, Office of the President, we propel our mission through impactful work locally, in government centers and </w:t>
      </w:r>
      <w:r w:rsidR="001E55BE" w:rsidRPr="00625B6B">
        <w:rPr>
          <w:rFonts w:eastAsia="Times New Roman"/>
          <w:szCs w:val="20"/>
        </w:rPr>
        <w:t>S</w:t>
      </w:r>
      <w:r w:rsidRPr="00625B6B">
        <w:rPr>
          <w:rFonts w:eastAsia="Times New Roman"/>
          <w:szCs w:val="20"/>
        </w:rPr>
        <w:t>ystemwide. We are passionate people, serving the greater good.</w:t>
      </w:r>
      <w:r w:rsidRPr="00625B6B">
        <w:rPr>
          <w:rFonts w:eastAsia="Times New Roman"/>
          <w:szCs w:val="20"/>
        </w:rPr>
        <w:br/>
      </w:r>
      <w:r w:rsidRPr="00625B6B">
        <w:rPr>
          <w:rFonts w:eastAsia="Times New Roman"/>
          <w:szCs w:val="20"/>
        </w:rPr>
        <w:br/>
        <w:t>The University of California, one of the largest and most acclaimed institutions of higher learning in the world, is dedicated to excellence in teaching, research and public service. The University of California Office of the President is the headquarters to the 10 campuses, six academic medical centers and three national laboratories and enrolls premier students from California, the nation and the world.</w:t>
      </w:r>
      <w:r w:rsidR="00487B55" w:rsidRPr="00625B6B">
        <w:rPr>
          <w:rFonts w:eastAsia="Times New Roman"/>
          <w:color w:val="000000"/>
          <w:szCs w:val="20"/>
        </w:rPr>
        <w:t xml:space="preserve"> </w:t>
      </w:r>
      <w:hyperlink r:id="rId8" w:history="1">
        <w:r w:rsidR="00487B55" w:rsidRPr="00625B6B">
          <w:rPr>
            <w:rFonts w:eastAsia="Times New Roman"/>
            <w:color w:val="0000FF"/>
            <w:szCs w:val="20"/>
            <w:u w:val="single"/>
          </w:rPr>
          <w:t>Learn more about the UC Office of the President</w:t>
        </w:r>
      </w:hyperlink>
      <w:r w:rsidR="00CB41B4" w:rsidRPr="00625B6B">
        <w:rPr>
          <w:rFonts w:eastAsia="Times New Roman"/>
          <w:color w:val="0000FF"/>
          <w:szCs w:val="20"/>
          <w:u w:val="single"/>
        </w:rPr>
        <w:t xml:space="preserve"> </w:t>
      </w:r>
    </w:p>
    <w:p w:rsidR="001578AB" w:rsidRPr="00625B6B" w:rsidRDefault="004D0865" w:rsidP="002A3897">
      <w:pPr>
        <w:rPr>
          <w:rFonts w:eastAsia="Times New Roman"/>
          <w:b/>
          <w:bCs/>
          <w:color w:val="000000"/>
          <w:szCs w:val="20"/>
        </w:rPr>
      </w:pPr>
      <w:r w:rsidRPr="00625B6B">
        <w:rPr>
          <w:rFonts w:eastAsia="Times New Roman"/>
          <w:szCs w:val="20"/>
        </w:rPr>
        <w:br/>
      </w:r>
      <w:r w:rsidR="001578AB" w:rsidRPr="00625B6B">
        <w:rPr>
          <w:rFonts w:eastAsia="Times New Roman"/>
          <w:b/>
          <w:bCs/>
          <w:color w:val="000000"/>
          <w:szCs w:val="20"/>
        </w:rPr>
        <w:t>DEPARTMENT OVERVIEW</w:t>
      </w:r>
    </w:p>
    <w:p w:rsidR="007200BC" w:rsidRPr="00625B6B" w:rsidRDefault="007200BC" w:rsidP="002A3897">
      <w:pPr>
        <w:rPr>
          <w:rFonts w:eastAsia="Times New Roman"/>
          <w:sz w:val="12"/>
          <w:szCs w:val="12"/>
        </w:rPr>
      </w:pPr>
    </w:p>
    <w:p w:rsidR="004C76F5" w:rsidRPr="00625B6B" w:rsidRDefault="004C76F5" w:rsidP="002A3897">
      <w:pPr>
        <w:rPr>
          <w:szCs w:val="20"/>
        </w:rPr>
      </w:pPr>
      <w:r w:rsidRPr="00625B6B">
        <w:rPr>
          <w:szCs w:val="20"/>
        </w:rPr>
        <w:t>UC Legal - Office of the General Counsel (UCL) provides legal services to the university, including representation, advice, research and training. We also provide legal opinions to the Board of Regents, administration, faculty, staff and others acting on the university's behalf. We report jointly to the Board of Regents and the president.</w:t>
      </w:r>
    </w:p>
    <w:p w:rsidR="001578AB" w:rsidRPr="00625B6B" w:rsidRDefault="001578AB" w:rsidP="002A3897">
      <w:pPr>
        <w:spacing w:before="100" w:beforeAutospacing="1" w:after="120"/>
        <w:rPr>
          <w:rFonts w:eastAsia="Times New Roman"/>
          <w:b/>
          <w:bCs/>
          <w:color w:val="000000"/>
          <w:szCs w:val="20"/>
        </w:rPr>
      </w:pPr>
      <w:r w:rsidRPr="00625B6B">
        <w:rPr>
          <w:rFonts w:eastAsia="Times New Roman"/>
          <w:b/>
          <w:bCs/>
          <w:color w:val="000000"/>
          <w:szCs w:val="20"/>
        </w:rPr>
        <w:t>POSITION SUMMARY</w:t>
      </w:r>
    </w:p>
    <w:p w:rsidR="0061391F" w:rsidRPr="0061391F" w:rsidRDefault="0061391F" w:rsidP="002A3897">
      <w:pPr>
        <w:spacing w:before="120" w:after="100" w:afterAutospacing="1"/>
        <w:rPr>
          <w:rFonts w:eastAsia="Times New Roman"/>
          <w:color w:val="000000" w:themeColor="text1"/>
          <w:szCs w:val="20"/>
        </w:rPr>
      </w:pPr>
      <w:r w:rsidRPr="0061391F">
        <w:rPr>
          <w:rFonts w:eastAsia="Times New Roman"/>
          <w:color w:val="000000" w:themeColor="text1"/>
          <w:szCs w:val="20"/>
        </w:rPr>
        <w:t>Reporting to the Managing Counsel, Health Affairs, Privacy &amp; Data Protection Law, the Principal Counsel - Health Regulatory provides primary legal support to the University's medical centers and health sciences schools on complex and high impact healthcare regulatory analysis. Work includes advising and counseling on health care regulatory and policy issues including health care reimbursement, operations, privacy, hospital licensing or accreditation, medical staff, peer review, tax exemption, federally qualified health centers, clinical laboratories, pharmacies, controlled substances, Medicare/Medicaid enrollment, sexual harassment/sexual violence in academic medical centers, graduate medical education, religious liberty/establishment issues, managed care and Veteran’s Affairs facility affiliations. The position also advises UC Health, Office of the President, Faculty Senate, and campus stakeholders on a broad range of healthcare legal issues.</w:t>
      </w:r>
    </w:p>
    <w:p w:rsidR="0061391F" w:rsidRPr="0061391F" w:rsidRDefault="0061391F" w:rsidP="002A3897">
      <w:pPr>
        <w:spacing w:before="100" w:beforeAutospacing="1" w:after="100" w:afterAutospacing="1"/>
        <w:rPr>
          <w:rFonts w:eastAsia="Times New Roman"/>
          <w:color w:val="000000" w:themeColor="text1"/>
          <w:szCs w:val="20"/>
        </w:rPr>
      </w:pPr>
      <w:r w:rsidRPr="0061391F">
        <w:rPr>
          <w:rFonts w:eastAsia="Times New Roman"/>
          <w:color w:val="000000" w:themeColor="text1"/>
          <w:szCs w:val="20"/>
        </w:rPr>
        <w:t>The Principal Counsel - Health Regulatory should be a strategic thinker, an approachable adviser, and a strong relationship builder who thrives in a challenging environment and is clearly aligned with the University's and UC Legal's values.</w:t>
      </w:r>
    </w:p>
    <w:p w:rsidR="0061391F" w:rsidRPr="0061391F" w:rsidRDefault="0061391F" w:rsidP="002A3897">
      <w:pPr>
        <w:spacing w:before="100" w:beforeAutospacing="1" w:after="100" w:afterAutospacing="1"/>
        <w:rPr>
          <w:rFonts w:eastAsia="Times New Roman"/>
          <w:color w:val="000000" w:themeColor="text1"/>
          <w:szCs w:val="20"/>
        </w:rPr>
      </w:pPr>
      <w:r w:rsidRPr="0061391F">
        <w:rPr>
          <w:rFonts w:eastAsia="Times New Roman"/>
          <w:color w:val="000000" w:themeColor="text1"/>
          <w:szCs w:val="20"/>
        </w:rPr>
        <w:t>All team members are expected to actively participate in initiatives to promote diversity, equity, and/or inclusion, whether at UC or in the community.</w:t>
      </w:r>
    </w:p>
    <w:p w:rsidR="001578AB" w:rsidRPr="00625B6B" w:rsidRDefault="001578AB" w:rsidP="002A3897">
      <w:pPr>
        <w:spacing w:before="100" w:beforeAutospacing="1" w:after="120"/>
        <w:rPr>
          <w:rFonts w:eastAsia="Times New Roman"/>
          <w:b/>
          <w:color w:val="000000"/>
          <w:szCs w:val="20"/>
        </w:rPr>
      </w:pPr>
      <w:r w:rsidRPr="00625B6B">
        <w:rPr>
          <w:rFonts w:eastAsia="Times New Roman"/>
          <w:b/>
          <w:color w:val="000000"/>
          <w:szCs w:val="20"/>
        </w:rPr>
        <w:t>Responsibilities</w:t>
      </w:r>
    </w:p>
    <w:p w:rsidR="00A54E77" w:rsidRPr="0061391F" w:rsidRDefault="00A54E77" w:rsidP="002A3897">
      <w:pPr>
        <w:spacing w:before="120" w:after="120"/>
        <w:rPr>
          <w:rFonts w:eastAsia="Times New Roman"/>
          <w:color w:val="000000" w:themeColor="text1"/>
          <w:szCs w:val="20"/>
        </w:rPr>
      </w:pPr>
      <w:r w:rsidRPr="0061391F">
        <w:rPr>
          <w:rFonts w:eastAsia="Times New Roman"/>
          <w:color w:val="000000" w:themeColor="text1"/>
          <w:szCs w:val="20"/>
        </w:rPr>
        <w:t>90% Core Legal and Client Service</w:t>
      </w:r>
    </w:p>
    <w:p w:rsidR="00A54E77" w:rsidRPr="0061391F" w:rsidRDefault="00A54E77" w:rsidP="002A3897">
      <w:pPr>
        <w:numPr>
          <w:ilvl w:val="0"/>
          <w:numId w:val="37"/>
        </w:numPr>
        <w:spacing w:before="120" w:after="100" w:afterAutospacing="1" w:line="259" w:lineRule="auto"/>
        <w:rPr>
          <w:rFonts w:eastAsia="Times New Roman"/>
          <w:color w:val="000000" w:themeColor="text1"/>
          <w:szCs w:val="20"/>
        </w:rPr>
      </w:pPr>
      <w:r w:rsidRPr="0061391F">
        <w:rPr>
          <w:rFonts w:eastAsia="Times New Roman"/>
          <w:color w:val="000000" w:themeColor="text1"/>
          <w:szCs w:val="20"/>
        </w:rPr>
        <w:t xml:space="preserve">Supports the UC Legal Health Affairs, Privacy &amp; Data Protection Law Group's coordination efforts to facilitate </w:t>
      </w:r>
      <w:bookmarkStart w:id="0" w:name="_GoBack"/>
      <w:bookmarkEnd w:id="0"/>
      <w:r w:rsidRPr="0061391F">
        <w:rPr>
          <w:rFonts w:eastAsia="Times New Roman"/>
          <w:color w:val="000000" w:themeColor="text1"/>
          <w:szCs w:val="20"/>
        </w:rPr>
        <w:t>efficient, effective, and consistent delivery of health law services system-wide.</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themeColor="text1"/>
          <w:szCs w:val="20"/>
        </w:rPr>
        <w:t>Provides substantial expertise within the University in the Health Law field, particularly in health care regulatory and policy issues including but not limited to health care reimbursement, operations, privacy, hospital licensing or accreditation</w:t>
      </w:r>
      <w:r w:rsidRPr="0061391F">
        <w:rPr>
          <w:rFonts w:eastAsia="Times New Roman"/>
          <w:color w:val="000000"/>
          <w:szCs w:val="20"/>
        </w:rPr>
        <w:t>, medical staff, peer review, tax exemption, federally qualified health centers, clinical laboratories, pharmacies, controlled substances, Medicare/Medicaid enrollment, sexual harassment/sexual violence in academic medical centers, graduate medical education, religious liberty/establishment issues, managed care and Veteran’s Affairs facility affiliations.</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Under general direction handles independently a full range of legal matters and projects, to include those of high complexity and of substantial importance and impact. Regularly counsels and advises senior management in the UC health enterprise, often on issues that can have significance across the system.</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lastRenderedPageBreak/>
        <w:t>Provides high-level strategic advice to University business units, including practical advice and alternative solutions to business concerns.</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Collaborates to achieve solutions on the most complex legal issues in area of specialty, providing strategic direction with high level stakeholders such as the medical center CEOs, and senior administrators at Office of the President and/or across UC locations.</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Provides actionable and practical advice based on sophisticated interpretation of facts and law in areas of ambiguity.</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Identifies and frames systemic legal issues, and formulates and proposes strategic approaches to address them which can have broad impact across the UC system.</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Participates on external committees to provide input on issues that affect state and/or federal policy.</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Keeps informed on changing legislation and case law developments affecting overall operations of the University as they relate to health care regulatory matters.</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Provides training as well as client advisories and tools related to such developments.</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Directly negotiates matters on behalf of The Regents.</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Acts as a liaison with outside counsel.</w:t>
      </w:r>
    </w:p>
    <w:p w:rsidR="00A54E77" w:rsidRPr="0061391F" w:rsidRDefault="00A54E77" w:rsidP="002A3897">
      <w:pPr>
        <w:numPr>
          <w:ilvl w:val="0"/>
          <w:numId w:val="37"/>
        </w:numPr>
        <w:spacing w:before="100" w:beforeAutospacing="1" w:after="100" w:afterAutospacing="1" w:line="259" w:lineRule="auto"/>
        <w:rPr>
          <w:rFonts w:eastAsia="Times New Roman"/>
          <w:color w:val="515151"/>
          <w:szCs w:val="20"/>
        </w:rPr>
      </w:pPr>
      <w:r w:rsidRPr="0061391F">
        <w:rPr>
          <w:rFonts w:eastAsia="Times New Roman"/>
          <w:color w:val="000000"/>
          <w:szCs w:val="20"/>
        </w:rPr>
        <w:t>May provide strategic support and expertise on litigation matters in areas of expertise.</w:t>
      </w:r>
    </w:p>
    <w:p w:rsidR="00A54E77" w:rsidRPr="0061391F" w:rsidRDefault="00A54E77" w:rsidP="002A3897">
      <w:pPr>
        <w:spacing w:before="100" w:beforeAutospacing="1" w:after="120"/>
        <w:rPr>
          <w:rFonts w:eastAsia="Times New Roman"/>
          <w:color w:val="515151"/>
          <w:szCs w:val="20"/>
        </w:rPr>
      </w:pPr>
      <w:r w:rsidRPr="0061391F">
        <w:rPr>
          <w:rFonts w:eastAsia="Times New Roman"/>
          <w:color w:val="000000"/>
          <w:szCs w:val="20"/>
        </w:rPr>
        <w:t>10% Collaboration and Communication</w:t>
      </w:r>
    </w:p>
    <w:p w:rsidR="00A54E77" w:rsidRPr="0061391F" w:rsidRDefault="00A54E77" w:rsidP="002A3897">
      <w:pPr>
        <w:numPr>
          <w:ilvl w:val="0"/>
          <w:numId w:val="38"/>
        </w:numPr>
        <w:spacing w:before="120" w:after="100" w:afterAutospacing="1" w:line="259" w:lineRule="auto"/>
        <w:rPr>
          <w:rFonts w:eastAsia="Times New Roman"/>
          <w:color w:val="515151"/>
          <w:szCs w:val="20"/>
        </w:rPr>
      </w:pPr>
      <w:r w:rsidRPr="0061391F">
        <w:rPr>
          <w:rFonts w:eastAsia="Times New Roman"/>
          <w:color w:val="000000"/>
          <w:szCs w:val="20"/>
        </w:rPr>
        <w:t>Recognizes strategic needs of organization and proactively builds relationships with appropriate stakeholders to ensure successful outcomes.</w:t>
      </w:r>
    </w:p>
    <w:p w:rsidR="00A54E77" w:rsidRPr="0061391F" w:rsidRDefault="00A54E77" w:rsidP="002A3897">
      <w:pPr>
        <w:numPr>
          <w:ilvl w:val="0"/>
          <w:numId w:val="38"/>
        </w:numPr>
        <w:spacing w:before="100" w:beforeAutospacing="1" w:after="100" w:afterAutospacing="1" w:line="259" w:lineRule="auto"/>
        <w:rPr>
          <w:rFonts w:eastAsia="Times New Roman"/>
          <w:color w:val="515151"/>
          <w:szCs w:val="20"/>
        </w:rPr>
      </w:pPr>
      <w:r w:rsidRPr="0061391F">
        <w:rPr>
          <w:rFonts w:eastAsia="Times New Roman"/>
          <w:color w:val="000000"/>
          <w:szCs w:val="20"/>
        </w:rPr>
        <w:t>Establishes effective relationships with key internal and external constituencies.</w:t>
      </w:r>
    </w:p>
    <w:p w:rsidR="00A54E77" w:rsidRPr="0061391F" w:rsidRDefault="00A54E77" w:rsidP="002A3897">
      <w:pPr>
        <w:numPr>
          <w:ilvl w:val="0"/>
          <w:numId w:val="38"/>
        </w:numPr>
        <w:spacing w:before="100" w:beforeAutospacing="1" w:after="100" w:afterAutospacing="1" w:line="259" w:lineRule="auto"/>
        <w:rPr>
          <w:rFonts w:eastAsia="Times New Roman"/>
          <w:color w:val="515151"/>
          <w:szCs w:val="20"/>
        </w:rPr>
      </w:pPr>
      <w:r w:rsidRPr="0061391F">
        <w:rPr>
          <w:rFonts w:eastAsia="Times New Roman"/>
          <w:color w:val="000000"/>
          <w:szCs w:val="20"/>
        </w:rPr>
        <w:t>Mentors law clerks, fellows and other learners.</w:t>
      </w:r>
    </w:p>
    <w:p w:rsidR="00A54E77" w:rsidRPr="0061391F" w:rsidRDefault="00A54E77" w:rsidP="002A3897">
      <w:pPr>
        <w:numPr>
          <w:ilvl w:val="0"/>
          <w:numId w:val="38"/>
        </w:numPr>
        <w:spacing w:before="100" w:beforeAutospacing="1" w:after="100" w:afterAutospacing="1" w:line="259" w:lineRule="auto"/>
        <w:rPr>
          <w:rFonts w:eastAsia="Times New Roman"/>
          <w:color w:val="515151"/>
          <w:szCs w:val="20"/>
        </w:rPr>
      </w:pPr>
      <w:r w:rsidRPr="0061391F">
        <w:rPr>
          <w:rFonts w:eastAsia="Times New Roman"/>
          <w:color w:val="000000"/>
          <w:szCs w:val="20"/>
        </w:rPr>
        <w:t>Functions as lead and technical resource and provides functional advice, training and/or guidance to clients or to less-experienced attorneys.</w:t>
      </w:r>
    </w:p>
    <w:p w:rsidR="00A54E77" w:rsidRPr="0061391F" w:rsidRDefault="00A54E77" w:rsidP="002A3897">
      <w:pPr>
        <w:numPr>
          <w:ilvl w:val="0"/>
          <w:numId w:val="38"/>
        </w:numPr>
        <w:spacing w:before="100" w:beforeAutospacing="1" w:after="100" w:afterAutospacing="1" w:line="259" w:lineRule="auto"/>
        <w:rPr>
          <w:rFonts w:eastAsia="Times New Roman"/>
          <w:color w:val="515151"/>
          <w:szCs w:val="20"/>
        </w:rPr>
      </w:pPr>
      <w:r w:rsidRPr="0061391F">
        <w:rPr>
          <w:rFonts w:eastAsia="Times New Roman"/>
          <w:color w:val="000000"/>
          <w:szCs w:val="20"/>
        </w:rPr>
        <w:t>Develops objectives and ensures service according to established priorities.</w:t>
      </w:r>
    </w:p>
    <w:p w:rsidR="00A54E77" w:rsidRPr="0061391F" w:rsidRDefault="00A54E77" w:rsidP="002A3897">
      <w:pPr>
        <w:numPr>
          <w:ilvl w:val="0"/>
          <w:numId w:val="38"/>
        </w:numPr>
        <w:spacing w:before="100" w:beforeAutospacing="1" w:after="100" w:afterAutospacing="1" w:line="259" w:lineRule="auto"/>
        <w:rPr>
          <w:rFonts w:eastAsia="Times New Roman"/>
          <w:color w:val="515151"/>
          <w:szCs w:val="20"/>
        </w:rPr>
      </w:pPr>
      <w:r w:rsidRPr="0061391F">
        <w:rPr>
          <w:rFonts w:eastAsia="Times New Roman"/>
          <w:color w:val="000000"/>
          <w:szCs w:val="20"/>
        </w:rPr>
        <w:t>Ensures accurate record keeping in compliance with UC Legal data quality protocols.</w:t>
      </w:r>
    </w:p>
    <w:p w:rsidR="00057AA4" w:rsidRPr="00625B6B" w:rsidRDefault="00057AA4" w:rsidP="002A3897">
      <w:pPr>
        <w:spacing w:before="100" w:beforeAutospacing="1" w:after="120"/>
        <w:rPr>
          <w:rFonts w:eastAsia="Times New Roman"/>
          <w:szCs w:val="20"/>
        </w:rPr>
      </w:pPr>
      <w:r w:rsidRPr="00625B6B">
        <w:rPr>
          <w:rFonts w:eastAsia="Times New Roman"/>
          <w:b/>
          <w:bCs/>
          <w:szCs w:val="20"/>
        </w:rPr>
        <w:t>Required Qualifications</w:t>
      </w:r>
    </w:p>
    <w:p w:rsidR="009A570E" w:rsidRPr="0061391F" w:rsidRDefault="009A570E" w:rsidP="002A3897">
      <w:pPr>
        <w:numPr>
          <w:ilvl w:val="0"/>
          <w:numId w:val="28"/>
        </w:numPr>
        <w:spacing w:before="120" w:after="100" w:afterAutospacing="1" w:line="259" w:lineRule="auto"/>
        <w:rPr>
          <w:rFonts w:eastAsia="Times New Roman"/>
          <w:color w:val="000000" w:themeColor="text1"/>
          <w:szCs w:val="20"/>
        </w:rPr>
      </w:pPr>
      <w:r w:rsidRPr="0061391F">
        <w:rPr>
          <w:rFonts w:eastAsia="Times New Roman"/>
          <w:color w:val="000000" w:themeColor="text1"/>
          <w:szCs w:val="20"/>
        </w:rPr>
        <w:t>At least 8 years of progressively responsible experience advising clients on high-level and complex health care regulatory matters.</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Demonstrated specialized and in-depth experience in at least one of the following health care regulatory areas: reimbursement, operations, and/or medical staff.</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Experience gained in a law firm, or in-house counsel for an academic institution, corporation or other entity.</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Significant experience advising executives on sophisticated and often highly complex health care regulatory matters with minimal preparation time.</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Requires health law expertise including a sufficient understanding of applicable laws, industry practices, and enforcement trends to identify, assess, mitigate and resolve legal risks associated with Medical Center and Medical School activities, or a willingness to develop such expertise.</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In depth abilities in collaboration, facilitation, and strategic and creative thinking.</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In-depth understanding of highly complex legal issues and ability to foresee implications of different approaches or actions, even when ambiguous or hidden.</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Advanced interpersonal communication skills, including proven ability to actively listen, negotiate, persuade and educate.</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Skills to gain trust and build credibility with a broad group of colleagues and clients, to include senior leaders.</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Advanced written communication skills</w:t>
      </w:r>
      <w:r w:rsidR="002A3897">
        <w:rPr>
          <w:rFonts w:eastAsia="Times New Roman"/>
          <w:color w:val="000000" w:themeColor="text1"/>
          <w:szCs w:val="20"/>
        </w:rPr>
        <w:t>.  A</w:t>
      </w:r>
      <w:r w:rsidRPr="0061391F">
        <w:rPr>
          <w:rFonts w:eastAsia="Times New Roman"/>
          <w:color w:val="000000" w:themeColor="text1"/>
          <w:szCs w:val="20"/>
        </w:rPr>
        <w:t>bility to create and deliver effective materials and/or presentations appropriate to a particular audience.</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Advanced research skills; ability to readily identify critical legislative changes in area of specialty.</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In depth decision making ability, even when unpopular, earning credibility and support from colleagues.</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Advanced skills in project management</w:t>
      </w:r>
      <w:r w:rsidR="002A3897">
        <w:rPr>
          <w:rFonts w:eastAsia="Times New Roman"/>
          <w:color w:val="000000" w:themeColor="text1"/>
          <w:szCs w:val="20"/>
        </w:rPr>
        <w:t xml:space="preserve"> and in </w:t>
      </w:r>
      <w:r w:rsidRPr="0061391F">
        <w:rPr>
          <w:rFonts w:eastAsia="Times New Roman"/>
          <w:color w:val="000000" w:themeColor="text1"/>
          <w:szCs w:val="20"/>
        </w:rPr>
        <w:t>facilitating policy review and changes.</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Relied on to represent institutional concerns persuasively to internal and external parties.</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Developing ability to mentor and coach all levels of staff; provide for succession planning in area of specialty.</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 xml:space="preserve">Proven ability to maintain confidentiality and exercise discretion and tact </w:t>
      </w:r>
      <w:r w:rsidR="002A3897">
        <w:rPr>
          <w:rFonts w:eastAsia="Times New Roman"/>
          <w:color w:val="000000" w:themeColor="text1"/>
          <w:szCs w:val="20"/>
        </w:rPr>
        <w:t>in</w:t>
      </w:r>
      <w:r w:rsidRPr="0061391F">
        <w:rPr>
          <w:rFonts w:eastAsia="Times New Roman"/>
          <w:color w:val="000000" w:themeColor="text1"/>
          <w:szCs w:val="20"/>
        </w:rPr>
        <w:t xml:space="preserve"> handling sensitive or potentially sensitive issues.</w:t>
      </w:r>
    </w:p>
    <w:p w:rsidR="009A570E" w:rsidRPr="0061391F" w:rsidRDefault="009A570E" w:rsidP="002A3897">
      <w:pPr>
        <w:numPr>
          <w:ilvl w:val="0"/>
          <w:numId w:val="28"/>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Demonstrated commitment to the highest ethical standards.</w:t>
      </w:r>
    </w:p>
    <w:p w:rsidR="00057AA4" w:rsidRPr="00625B6B" w:rsidRDefault="00057AA4" w:rsidP="002A3897">
      <w:pPr>
        <w:spacing w:before="100" w:beforeAutospacing="1" w:after="120"/>
        <w:rPr>
          <w:rFonts w:eastAsia="Times New Roman"/>
          <w:szCs w:val="20"/>
        </w:rPr>
      </w:pPr>
      <w:r w:rsidRPr="00625B6B">
        <w:rPr>
          <w:rFonts w:eastAsia="Times New Roman"/>
          <w:b/>
          <w:bCs/>
          <w:color w:val="000000"/>
          <w:szCs w:val="20"/>
        </w:rPr>
        <w:lastRenderedPageBreak/>
        <w:t>Preferred Qualifications</w:t>
      </w:r>
    </w:p>
    <w:p w:rsidR="00FB2EFF" w:rsidRPr="0061391F" w:rsidRDefault="00FB2EFF" w:rsidP="002A3897">
      <w:pPr>
        <w:numPr>
          <w:ilvl w:val="0"/>
          <w:numId w:val="25"/>
        </w:numPr>
        <w:spacing w:before="120" w:after="100" w:afterAutospacing="1" w:line="259" w:lineRule="auto"/>
        <w:rPr>
          <w:rFonts w:eastAsia="Times New Roman"/>
          <w:color w:val="000000" w:themeColor="text1"/>
          <w:szCs w:val="20"/>
        </w:rPr>
      </w:pPr>
      <w:r w:rsidRPr="0061391F">
        <w:rPr>
          <w:rFonts w:eastAsia="Times New Roman"/>
          <w:color w:val="000000" w:themeColor="text1"/>
          <w:szCs w:val="20"/>
        </w:rPr>
        <w:t>Expertise in complex and high impact health care regulatory matters for hospitals and health sciences school clients.</w:t>
      </w:r>
    </w:p>
    <w:p w:rsidR="00FB2EFF" w:rsidRPr="0061391F" w:rsidRDefault="00FB2EFF" w:rsidP="002A3897">
      <w:pPr>
        <w:numPr>
          <w:ilvl w:val="0"/>
          <w:numId w:val="25"/>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Expertise in such matters for managed care clients, physician group clients or device or drug manufacturer clients is also a positive consideration.</w:t>
      </w:r>
    </w:p>
    <w:p w:rsidR="00FB2EFF" w:rsidRPr="0061391F" w:rsidRDefault="00FB2EFF" w:rsidP="002A3897">
      <w:pPr>
        <w:numPr>
          <w:ilvl w:val="0"/>
          <w:numId w:val="25"/>
        </w:numPr>
        <w:spacing w:before="100" w:beforeAutospacing="1" w:after="100" w:afterAutospacing="1" w:line="259" w:lineRule="auto"/>
        <w:rPr>
          <w:rFonts w:eastAsia="Times New Roman"/>
          <w:color w:val="000000" w:themeColor="text1"/>
          <w:szCs w:val="20"/>
        </w:rPr>
      </w:pPr>
      <w:r w:rsidRPr="0061391F">
        <w:rPr>
          <w:rFonts w:eastAsia="Times New Roman"/>
          <w:color w:val="000000" w:themeColor="text1"/>
          <w:szCs w:val="20"/>
        </w:rPr>
        <w:t>Prior experience at government agency responsible for regulating hospitals and/or other providers.</w:t>
      </w:r>
    </w:p>
    <w:p w:rsidR="00057AA4" w:rsidRPr="00625B6B" w:rsidRDefault="00057AA4" w:rsidP="002A3897">
      <w:pPr>
        <w:spacing w:before="100" w:beforeAutospacing="1" w:after="120"/>
        <w:rPr>
          <w:rFonts w:eastAsia="Times New Roman"/>
          <w:szCs w:val="20"/>
        </w:rPr>
      </w:pPr>
      <w:r w:rsidRPr="00625B6B">
        <w:rPr>
          <w:rFonts w:eastAsia="Times New Roman"/>
          <w:b/>
          <w:bCs/>
          <w:color w:val="000000"/>
          <w:szCs w:val="20"/>
        </w:rPr>
        <w:t>Education</w:t>
      </w:r>
    </w:p>
    <w:p w:rsidR="00800BAD" w:rsidRPr="00625B6B" w:rsidRDefault="00D21E3F" w:rsidP="002A3897">
      <w:pPr>
        <w:numPr>
          <w:ilvl w:val="0"/>
          <w:numId w:val="34"/>
        </w:numPr>
        <w:spacing w:before="120" w:after="100" w:afterAutospacing="1"/>
        <w:rPr>
          <w:rFonts w:eastAsia="Times New Roman"/>
          <w:szCs w:val="20"/>
        </w:rPr>
      </w:pPr>
      <w:r w:rsidRPr="00625B6B">
        <w:rPr>
          <w:rFonts w:eastAsia="Times New Roman"/>
          <w:szCs w:val="20"/>
        </w:rPr>
        <w:t>Advanced degree in a related area</w:t>
      </w:r>
      <w:r w:rsidR="00FB2EFF" w:rsidRPr="00625B6B">
        <w:rPr>
          <w:rFonts w:eastAsia="Times New Roman"/>
          <w:szCs w:val="20"/>
        </w:rPr>
        <w:t xml:space="preserve">.  </w:t>
      </w:r>
      <w:r w:rsidRPr="00625B6B">
        <w:rPr>
          <w:rFonts w:eastAsia="Times New Roman"/>
          <w:szCs w:val="20"/>
        </w:rPr>
        <w:t xml:space="preserve"> </w:t>
      </w:r>
    </w:p>
    <w:p w:rsidR="00800BAD" w:rsidRPr="00625B6B" w:rsidRDefault="00800BAD" w:rsidP="002A3897">
      <w:pPr>
        <w:spacing w:before="100" w:beforeAutospacing="1" w:after="120"/>
        <w:rPr>
          <w:rFonts w:eastAsia="Times New Roman"/>
          <w:szCs w:val="20"/>
        </w:rPr>
      </w:pPr>
      <w:r w:rsidRPr="00625B6B">
        <w:rPr>
          <w:rFonts w:eastAsia="Times New Roman"/>
          <w:b/>
          <w:bCs/>
          <w:color w:val="000000"/>
          <w:szCs w:val="20"/>
        </w:rPr>
        <w:t>License/Certifications</w:t>
      </w:r>
    </w:p>
    <w:p w:rsidR="00FB2EFF" w:rsidRPr="00625B6B" w:rsidRDefault="00FB2EFF" w:rsidP="002A3897">
      <w:pPr>
        <w:numPr>
          <w:ilvl w:val="0"/>
          <w:numId w:val="20"/>
        </w:numPr>
        <w:spacing w:before="120" w:after="100" w:afterAutospacing="1"/>
        <w:rPr>
          <w:rFonts w:eastAsia="Times New Roman"/>
          <w:color w:val="000000" w:themeColor="text1"/>
          <w:szCs w:val="20"/>
        </w:rPr>
      </w:pPr>
      <w:r w:rsidRPr="0061391F">
        <w:rPr>
          <w:rFonts w:eastAsia="Times New Roman"/>
          <w:color w:val="000000" w:themeColor="text1"/>
          <w:szCs w:val="20"/>
        </w:rPr>
        <w:t>Must be in good standing in the California State Bar or admitted within one year of employment.</w:t>
      </w:r>
      <w:r w:rsidRPr="00625B6B">
        <w:rPr>
          <w:rFonts w:eastAsia="Times New Roman"/>
          <w:color w:val="000000" w:themeColor="text1"/>
          <w:szCs w:val="20"/>
        </w:rPr>
        <w:t xml:space="preserve">  Current admission is strongly preferred. </w:t>
      </w:r>
    </w:p>
    <w:p w:rsidR="00FB2EFF" w:rsidRPr="00625B6B" w:rsidRDefault="00FB2EFF" w:rsidP="002A3897">
      <w:pPr>
        <w:numPr>
          <w:ilvl w:val="0"/>
          <w:numId w:val="20"/>
        </w:numPr>
        <w:spacing w:before="100" w:beforeAutospacing="1" w:after="100" w:afterAutospacing="1"/>
        <w:rPr>
          <w:rFonts w:eastAsia="Times New Roman"/>
          <w:color w:val="000000" w:themeColor="text1"/>
          <w:szCs w:val="20"/>
        </w:rPr>
      </w:pPr>
      <w:r w:rsidRPr="00625B6B">
        <w:rPr>
          <w:rFonts w:eastAsia="Times New Roman"/>
          <w:color w:val="000000" w:themeColor="text1"/>
          <w:szCs w:val="20"/>
        </w:rPr>
        <w:t>California's Registered In-House Counsel program is NOT available to University of California attorneys.</w:t>
      </w:r>
    </w:p>
    <w:p w:rsidR="00057AA4" w:rsidRPr="00625B6B" w:rsidRDefault="00057AA4" w:rsidP="002A3897">
      <w:pPr>
        <w:spacing w:before="100" w:beforeAutospacing="1" w:after="120"/>
        <w:rPr>
          <w:rFonts w:eastAsia="Times New Roman"/>
          <w:szCs w:val="20"/>
        </w:rPr>
      </w:pPr>
      <w:r w:rsidRPr="00625B6B">
        <w:rPr>
          <w:rFonts w:eastAsia="Times New Roman"/>
          <w:b/>
          <w:bCs/>
          <w:color w:val="000000"/>
          <w:szCs w:val="20"/>
        </w:rPr>
        <w:t>SPECIAL CONDITIONS</w:t>
      </w:r>
    </w:p>
    <w:p w:rsidR="00625B6B" w:rsidRPr="00625B6B" w:rsidRDefault="00625B6B" w:rsidP="002A3897">
      <w:pPr>
        <w:pStyle w:val="ListParagraph"/>
        <w:numPr>
          <w:ilvl w:val="0"/>
          <w:numId w:val="36"/>
        </w:numPr>
        <w:spacing w:before="120" w:after="100" w:afterAutospacing="1"/>
        <w:rPr>
          <w:rFonts w:eastAsia="Times New Roman"/>
          <w:color w:val="000000" w:themeColor="text1"/>
          <w:szCs w:val="20"/>
        </w:rPr>
      </w:pPr>
      <w:r w:rsidRPr="00625B6B">
        <w:rPr>
          <w:rFonts w:eastAsia="Times New Roman"/>
          <w:color w:val="000000" w:themeColor="text1"/>
          <w:szCs w:val="20"/>
        </w:rPr>
        <w:t>This position is eligible for a remote work arrangement until April 2023. At that time, the employee may be required to report to work onsite in Oakland, CA on a regular schedule.</w:t>
      </w:r>
    </w:p>
    <w:p w:rsidR="00057AA4" w:rsidRPr="00625B6B" w:rsidRDefault="00057AA4" w:rsidP="00846C10">
      <w:pPr>
        <w:spacing w:before="100" w:beforeAutospacing="1" w:after="120"/>
        <w:rPr>
          <w:rFonts w:eastAsia="Times New Roman"/>
          <w:szCs w:val="20"/>
        </w:rPr>
      </w:pPr>
      <w:r w:rsidRPr="00625B6B">
        <w:rPr>
          <w:rFonts w:eastAsia="Times New Roman"/>
          <w:b/>
          <w:bCs/>
          <w:color w:val="000000"/>
          <w:szCs w:val="20"/>
        </w:rPr>
        <w:t>SALARY AND BENEFITS</w:t>
      </w:r>
    </w:p>
    <w:p w:rsidR="00625B6B" w:rsidRPr="0061391F" w:rsidRDefault="00057AA4" w:rsidP="00846C10">
      <w:pPr>
        <w:spacing w:before="120" w:after="100" w:afterAutospacing="1"/>
        <w:rPr>
          <w:rFonts w:eastAsia="Times New Roman"/>
          <w:color w:val="515151"/>
          <w:szCs w:val="20"/>
        </w:rPr>
      </w:pPr>
      <w:r w:rsidRPr="00625B6B">
        <w:rPr>
          <w:rFonts w:eastAsia="Times New Roman"/>
          <w:color w:val="000000"/>
          <w:szCs w:val="20"/>
        </w:rPr>
        <w:t xml:space="preserve">Salary: </w:t>
      </w:r>
      <w:r w:rsidR="00FB3E27" w:rsidRPr="00625B6B">
        <w:rPr>
          <w:rFonts w:eastAsia="Times New Roman"/>
          <w:color w:val="000000"/>
          <w:szCs w:val="20"/>
        </w:rPr>
        <w:t xml:space="preserve"> </w:t>
      </w:r>
      <w:r w:rsidR="00625B6B" w:rsidRPr="0061391F">
        <w:rPr>
          <w:rFonts w:eastAsia="Times New Roman"/>
          <w:color w:val="FF0000"/>
          <w:szCs w:val="20"/>
        </w:rPr>
        <w:t>$207,000 - $245,000 annual</w:t>
      </w:r>
      <w:r w:rsidR="00625B6B" w:rsidRPr="00625B6B">
        <w:rPr>
          <w:rFonts w:eastAsia="Times New Roman"/>
          <w:color w:val="FF0000"/>
          <w:szCs w:val="20"/>
        </w:rPr>
        <w:t>ly</w:t>
      </w:r>
      <w:r w:rsidR="00625B6B" w:rsidRPr="0061391F">
        <w:rPr>
          <w:rFonts w:eastAsia="Times New Roman"/>
          <w:color w:val="FF0000"/>
          <w:szCs w:val="20"/>
        </w:rPr>
        <w:t>, commensurate with experience</w:t>
      </w:r>
    </w:p>
    <w:p w:rsidR="00057AA4" w:rsidRPr="00625B6B" w:rsidRDefault="00057AA4" w:rsidP="002A3897">
      <w:pPr>
        <w:spacing w:before="100" w:beforeAutospacing="1" w:after="100" w:afterAutospacing="1"/>
        <w:rPr>
          <w:rFonts w:eastAsia="Times New Roman"/>
          <w:color w:val="0000FF"/>
          <w:szCs w:val="20"/>
          <w:u w:val="single"/>
        </w:rPr>
      </w:pPr>
      <w:r w:rsidRPr="00625B6B">
        <w:rPr>
          <w:rFonts w:eastAsia="Times New Roman"/>
          <w:color w:val="000000"/>
          <w:szCs w:val="20"/>
        </w:rPr>
        <w:t xml:space="preserve">Benefits: </w:t>
      </w:r>
      <w:r w:rsidR="004B0F2A" w:rsidRPr="00625B6B">
        <w:rPr>
          <w:rFonts w:eastAsia="Times New Roman"/>
          <w:color w:val="000000"/>
          <w:szCs w:val="20"/>
        </w:rPr>
        <w:t xml:space="preserve"> </w:t>
      </w:r>
      <w:r w:rsidRPr="00625B6B">
        <w:rPr>
          <w:rFonts w:eastAsia="Times New Roman"/>
          <w:color w:val="000000"/>
          <w:szCs w:val="20"/>
        </w:rPr>
        <w:t>For information on the comprehensive benefits package offered by the University visit:</w:t>
      </w:r>
      <w:r w:rsidRPr="00625B6B">
        <w:rPr>
          <w:rFonts w:eastAsia="Times New Roman"/>
          <w:szCs w:val="20"/>
        </w:rPr>
        <w:t> </w:t>
      </w:r>
      <w:hyperlink r:id="rId9" w:tgtFrame="_blank" w:history="1">
        <w:r w:rsidRPr="00625B6B">
          <w:rPr>
            <w:rFonts w:eastAsia="Times New Roman"/>
            <w:color w:val="0000FF"/>
            <w:szCs w:val="20"/>
            <w:u w:val="single"/>
          </w:rPr>
          <w:t>Benefits of Belonging</w:t>
        </w:r>
      </w:hyperlink>
      <w:r w:rsidR="004276F8" w:rsidRPr="00625B6B">
        <w:rPr>
          <w:rFonts w:eastAsia="Times New Roman"/>
          <w:color w:val="0000FF"/>
          <w:szCs w:val="20"/>
          <w:u w:val="single"/>
        </w:rPr>
        <w:t xml:space="preserve"> </w:t>
      </w:r>
    </w:p>
    <w:p w:rsidR="001578AB" w:rsidRPr="00625B6B" w:rsidRDefault="001578AB" w:rsidP="00846C10">
      <w:pPr>
        <w:spacing w:before="100" w:beforeAutospacing="1" w:after="120"/>
        <w:rPr>
          <w:rFonts w:eastAsia="Times New Roman"/>
          <w:szCs w:val="20"/>
        </w:rPr>
      </w:pPr>
      <w:r w:rsidRPr="00625B6B">
        <w:rPr>
          <w:rFonts w:eastAsia="Times New Roman"/>
          <w:b/>
          <w:bCs/>
          <w:color w:val="000000"/>
          <w:szCs w:val="20"/>
        </w:rPr>
        <w:t>HOW TO APPLY</w:t>
      </w:r>
    </w:p>
    <w:p w:rsidR="001578AB" w:rsidRPr="00625B6B" w:rsidRDefault="001578AB" w:rsidP="00846C10">
      <w:pPr>
        <w:spacing w:before="120" w:after="100" w:afterAutospacing="1"/>
        <w:rPr>
          <w:rFonts w:eastAsia="Times New Roman"/>
          <w:szCs w:val="20"/>
        </w:rPr>
      </w:pPr>
      <w:r w:rsidRPr="00625B6B">
        <w:rPr>
          <w:rFonts w:eastAsia="Times New Roman"/>
          <w:color w:val="000000"/>
          <w:szCs w:val="20"/>
        </w:rPr>
        <w:t>Please be prepared to attach a cover letter and resume with your application.</w:t>
      </w:r>
    </w:p>
    <w:p w:rsidR="00057AA4" w:rsidRPr="00625B6B" w:rsidRDefault="00057AA4" w:rsidP="00846C10">
      <w:pPr>
        <w:spacing w:before="100" w:beforeAutospacing="1" w:after="120"/>
        <w:rPr>
          <w:rFonts w:eastAsia="Times New Roman"/>
          <w:szCs w:val="20"/>
        </w:rPr>
      </w:pPr>
      <w:r w:rsidRPr="00625B6B">
        <w:rPr>
          <w:rFonts w:eastAsia="Times New Roman"/>
          <w:b/>
          <w:bCs/>
          <w:color w:val="000000"/>
          <w:szCs w:val="20"/>
        </w:rPr>
        <w:t>APPLICATION REVIEW DATE</w:t>
      </w:r>
    </w:p>
    <w:p w:rsidR="00057AA4" w:rsidRPr="00625B6B" w:rsidRDefault="00057AA4" w:rsidP="00846C10">
      <w:pPr>
        <w:spacing w:before="120" w:after="100" w:afterAutospacing="1"/>
        <w:rPr>
          <w:rFonts w:eastAsia="Times New Roman"/>
          <w:szCs w:val="20"/>
        </w:rPr>
      </w:pPr>
      <w:r w:rsidRPr="00625B6B">
        <w:rPr>
          <w:rFonts w:eastAsia="Times New Roman"/>
          <w:color w:val="000000"/>
          <w:szCs w:val="20"/>
        </w:rPr>
        <w:t xml:space="preserve">The first review date for this job is </w:t>
      </w:r>
      <w:r w:rsidR="004B0F2A" w:rsidRPr="00625B6B">
        <w:rPr>
          <w:rFonts w:eastAsia="Times New Roman"/>
          <w:color w:val="FF0000"/>
          <w:szCs w:val="20"/>
        </w:rPr>
        <w:t xml:space="preserve">December </w:t>
      </w:r>
      <w:r w:rsidR="00625B6B" w:rsidRPr="00625B6B">
        <w:rPr>
          <w:rFonts w:eastAsia="Times New Roman"/>
          <w:color w:val="FF0000"/>
          <w:szCs w:val="20"/>
        </w:rPr>
        <w:t>1</w:t>
      </w:r>
      <w:r w:rsidR="004B0F2A" w:rsidRPr="00625B6B">
        <w:rPr>
          <w:rFonts w:eastAsia="Times New Roman"/>
          <w:color w:val="FF0000"/>
          <w:szCs w:val="20"/>
        </w:rPr>
        <w:t>, 2022.</w:t>
      </w:r>
      <w:r w:rsidR="004276F8" w:rsidRPr="00625B6B">
        <w:rPr>
          <w:rFonts w:eastAsia="Times New Roman"/>
          <w:color w:val="FF0000"/>
          <w:szCs w:val="20"/>
        </w:rPr>
        <w:t xml:space="preserve">  </w:t>
      </w:r>
      <w:r w:rsidR="00E60AE6" w:rsidRPr="00625B6B">
        <w:rPr>
          <w:rFonts w:eastAsia="Times New Roman"/>
          <w:szCs w:val="20"/>
        </w:rPr>
        <w:t xml:space="preserve">The position will be open until filled.  </w:t>
      </w:r>
    </w:p>
    <w:p w:rsidR="001578AB" w:rsidRPr="00625B6B" w:rsidRDefault="001578AB" w:rsidP="00846C10">
      <w:pPr>
        <w:spacing w:before="100" w:beforeAutospacing="1" w:after="120"/>
        <w:rPr>
          <w:rFonts w:eastAsia="Times New Roman"/>
          <w:szCs w:val="20"/>
        </w:rPr>
      </w:pPr>
      <w:r w:rsidRPr="00625B6B">
        <w:rPr>
          <w:rFonts w:eastAsia="Times New Roman"/>
          <w:b/>
          <w:bCs/>
          <w:color w:val="000000"/>
          <w:szCs w:val="20"/>
        </w:rPr>
        <w:t>CONDITIONS OF EMPLOYMENT</w:t>
      </w:r>
    </w:p>
    <w:p w:rsidR="001578AB" w:rsidRPr="00625B6B" w:rsidRDefault="001578AB" w:rsidP="00846C10">
      <w:pPr>
        <w:spacing w:before="120" w:after="100" w:afterAutospacing="1"/>
        <w:rPr>
          <w:rFonts w:eastAsia="Times New Roman"/>
          <w:szCs w:val="20"/>
        </w:rPr>
      </w:pPr>
      <w:r w:rsidRPr="00625B6B">
        <w:rPr>
          <w:rFonts w:eastAsia="Times New Roman"/>
          <w:color w:val="000000"/>
          <w:szCs w:val="20"/>
        </w:rPr>
        <w:t>Background Check Process: Successful completion of a background check is required for this critical position. </w:t>
      </w:r>
      <w:hyperlink r:id="rId10" w:tgtFrame="_blank" w:history="1">
        <w:r w:rsidRPr="00625B6B">
          <w:rPr>
            <w:rFonts w:eastAsia="Times New Roman"/>
            <w:color w:val="0000FF"/>
            <w:szCs w:val="20"/>
            <w:u w:val="single"/>
          </w:rPr>
          <w:t>Background check process at UCOP</w:t>
        </w:r>
      </w:hyperlink>
    </w:p>
    <w:p w:rsidR="001578AB" w:rsidRPr="00625B6B" w:rsidRDefault="001578AB" w:rsidP="002A3897">
      <w:pPr>
        <w:spacing w:before="100" w:beforeAutospacing="1" w:after="100" w:afterAutospacing="1"/>
        <w:rPr>
          <w:rFonts w:eastAsia="Times New Roman"/>
          <w:szCs w:val="20"/>
        </w:rPr>
      </w:pPr>
      <w:r w:rsidRPr="00625B6B">
        <w:rPr>
          <w:rFonts w:eastAsia="Times New Roman"/>
          <w:color w:val="000000"/>
          <w:szCs w:val="20"/>
        </w:rPr>
        <w:t>Smoke Free Work Environment: The University of California, Office of the President, is smoke &amp; tobacco-free as of January 1, 2014.</w:t>
      </w:r>
      <w:r w:rsidRPr="00625B6B">
        <w:rPr>
          <w:rFonts w:eastAsia="Times New Roman"/>
          <w:color w:val="515151"/>
          <w:szCs w:val="20"/>
        </w:rPr>
        <w:t> </w:t>
      </w:r>
      <w:hyperlink r:id="rId11" w:tgtFrame="_blank" w:history="1">
        <w:r w:rsidRPr="00625B6B">
          <w:rPr>
            <w:rFonts w:eastAsia="Times New Roman"/>
            <w:color w:val="0000FF"/>
            <w:szCs w:val="20"/>
            <w:u w:val="single"/>
          </w:rPr>
          <w:t>UC Smoke &amp; Tobacco Free Policy</w:t>
        </w:r>
      </w:hyperlink>
    </w:p>
    <w:p w:rsidR="001578AB" w:rsidRPr="00625B6B" w:rsidRDefault="001578AB" w:rsidP="002A3897">
      <w:pPr>
        <w:spacing w:before="100" w:beforeAutospacing="1" w:after="100" w:afterAutospacing="1"/>
        <w:rPr>
          <w:rFonts w:eastAsia="Times New Roman"/>
          <w:szCs w:val="20"/>
        </w:rPr>
      </w:pPr>
      <w:r w:rsidRPr="00625B6B">
        <w:rPr>
          <w:rFonts w:eastAsia="Times New Roman"/>
          <w:color w:val="000000"/>
          <w:szCs w:val="20"/>
        </w:rPr>
        <w:t xml:space="preserve">August 2021 Update:  The University of California has issued a policy requiring employees to be fully vaccinated against COVID -19 before physically accessing the University location or programs. Upon hire into a UCOP position, you will be provided detailed instructions on how to comply with this policy including access to the COVID vaccination at no cost. New hires to UCOP who work onsite or will come onsite for any activities at a UCOP or other UC location must comply with this policy within 8 weeks after their start date. The policy allows for employees to request approval for an exception or deferral. </w:t>
      </w:r>
      <w:hyperlink r:id="rId12" w:history="1">
        <w:r w:rsidRPr="00625B6B">
          <w:rPr>
            <w:rFonts w:eastAsia="Times New Roman"/>
            <w:color w:val="0000FF"/>
            <w:szCs w:val="20"/>
            <w:u w:val="single"/>
          </w:rPr>
          <w:t>UC COVID-19 Vaccine Policy</w:t>
        </w:r>
      </w:hyperlink>
    </w:p>
    <w:p w:rsidR="001578AB" w:rsidRPr="00625B6B" w:rsidRDefault="001578AB" w:rsidP="00846C10">
      <w:pPr>
        <w:spacing w:before="100" w:beforeAutospacing="1" w:after="120"/>
        <w:rPr>
          <w:rFonts w:eastAsia="Times New Roman"/>
          <w:szCs w:val="20"/>
        </w:rPr>
      </w:pPr>
      <w:r w:rsidRPr="00625B6B">
        <w:rPr>
          <w:rFonts w:eastAsia="Times New Roman"/>
          <w:b/>
          <w:bCs/>
          <w:color w:val="000000"/>
          <w:szCs w:val="20"/>
        </w:rPr>
        <w:t>EEO STATEMENT</w:t>
      </w:r>
    </w:p>
    <w:p w:rsidR="001578AB" w:rsidRPr="00625B6B" w:rsidRDefault="001578AB" w:rsidP="00846C10">
      <w:pPr>
        <w:spacing w:before="120" w:after="100" w:afterAutospacing="1"/>
        <w:rPr>
          <w:rFonts w:eastAsia="Times New Roman"/>
          <w:szCs w:val="20"/>
        </w:rPr>
      </w:pPr>
      <w:r w:rsidRPr="00625B6B">
        <w:rPr>
          <w:rFonts w:eastAsia="Times New Roman"/>
          <w:color w:val="000000"/>
          <w:szCs w:val="20"/>
        </w:rPr>
        <w:t xml:space="preserve">The University of California, Office of the President, is an Equal Opportunity/Affirmative Action Employer. All qualified applicants will receive consideration for employment without regard to race, color, religion, sex, sexual orientation, gender identity, national origin, disability, age or protected veteran status. </w:t>
      </w:r>
      <w:hyperlink r:id="rId13" w:tgtFrame="_blank" w:history="1">
        <w:r w:rsidRPr="00625B6B">
          <w:rPr>
            <w:rFonts w:eastAsia="Times New Roman"/>
            <w:color w:val="0000FF"/>
            <w:szCs w:val="20"/>
            <w:u w:val="single"/>
          </w:rPr>
          <w:t>EEO/AA Employer UC Nondiscrimination Policy</w:t>
        </w:r>
      </w:hyperlink>
    </w:p>
    <w:p w:rsidR="004C76F5" w:rsidRPr="0061391F" w:rsidRDefault="001578AB" w:rsidP="002A3897">
      <w:pPr>
        <w:spacing w:before="100" w:beforeAutospacing="1" w:after="100" w:afterAutospacing="1"/>
        <w:rPr>
          <w:rFonts w:eastAsia="Times New Roman"/>
          <w:color w:val="FF0000"/>
          <w:szCs w:val="20"/>
        </w:rPr>
      </w:pPr>
      <w:r w:rsidRPr="00625B6B">
        <w:rPr>
          <w:rFonts w:eastAsia="Times New Roman"/>
          <w:color w:val="000000"/>
          <w:szCs w:val="20"/>
        </w:rPr>
        <w:t>The University of California, Office of the President, strives to make this job board accessible to any and all users. If you have comments regarding the accessibility of our website or need assistance completing the application process, please contact us at: </w:t>
      </w:r>
      <w:hyperlink r:id="rId14" w:tgtFrame="_blank" w:history="1">
        <w:r w:rsidRPr="00625B6B">
          <w:rPr>
            <w:rFonts w:eastAsia="Times New Roman"/>
            <w:color w:val="0000FF"/>
            <w:szCs w:val="20"/>
            <w:u w:val="single"/>
          </w:rPr>
          <w:t>Accessibility</w:t>
        </w:r>
      </w:hyperlink>
      <w:r w:rsidRPr="00625B6B">
        <w:rPr>
          <w:rFonts w:eastAsia="Times New Roman"/>
          <w:szCs w:val="20"/>
        </w:rPr>
        <w:t xml:space="preserve"> </w:t>
      </w:r>
      <w:r w:rsidRPr="00625B6B">
        <w:rPr>
          <w:rFonts w:eastAsia="Times New Roman"/>
          <w:color w:val="000000"/>
          <w:szCs w:val="20"/>
        </w:rPr>
        <w:t>or email the Human Resource Department at: </w:t>
      </w:r>
      <w:hyperlink r:id="rId15" w:history="1">
        <w:r w:rsidRPr="00625B6B">
          <w:rPr>
            <w:rFonts w:eastAsia="Times New Roman"/>
            <w:color w:val="0000FF"/>
            <w:szCs w:val="20"/>
            <w:u w:val="single"/>
          </w:rPr>
          <w:t>epost@ucop.edu</w:t>
        </w:r>
      </w:hyperlink>
      <w:r w:rsidRPr="00625B6B">
        <w:rPr>
          <w:rFonts w:eastAsia="Times New Roman"/>
          <w:color w:val="515151"/>
          <w:szCs w:val="20"/>
        </w:rPr>
        <w:t>.</w:t>
      </w:r>
      <w:r w:rsidR="00A97E64" w:rsidRPr="00625B6B">
        <w:rPr>
          <w:rFonts w:eastAsia="Times New Roman"/>
          <w:color w:val="515151"/>
          <w:szCs w:val="20"/>
        </w:rPr>
        <w:t xml:space="preserve">  </w:t>
      </w:r>
    </w:p>
    <w:sectPr w:rsidR="004C76F5" w:rsidRPr="0061391F" w:rsidSect="002A3897">
      <w:footerReference w:type="default" r:id="rId16"/>
      <w:pgSz w:w="12240" w:h="15840"/>
      <w:pgMar w:top="864" w:right="720"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0A" w:rsidRDefault="00AF0D0A" w:rsidP="00246144">
      <w:r>
        <w:separator/>
      </w:r>
    </w:p>
  </w:endnote>
  <w:endnote w:type="continuationSeparator" w:id="0">
    <w:p w:rsidR="00AF0D0A" w:rsidRDefault="00AF0D0A" w:rsidP="0024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87364"/>
      <w:docPartObj>
        <w:docPartGallery w:val="Page Numbers (Bottom of Page)"/>
        <w:docPartUnique/>
      </w:docPartObj>
    </w:sdtPr>
    <w:sdtEndPr>
      <w:rPr>
        <w:color w:val="7F7F7F" w:themeColor="background1" w:themeShade="7F"/>
        <w:spacing w:val="60"/>
      </w:rPr>
    </w:sdtEndPr>
    <w:sdtContent>
      <w:p w:rsidR="00246144" w:rsidRDefault="002461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25EE" w:rsidRPr="003625EE">
          <w:rPr>
            <w:b/>
            <w:bCs/>
            <w:noProof/>
          </w:rPr>
          <w:t>3</w:t>
        </w:r>
        <w:r>
          <w:rPr>
            <w:b/>
            <w:bCs/>
            <w:noProof/>
          </w:rPr>
          <w:fldChar w:fldCharType="end"/>
        </w:r>
        <w:r>
          <w:rPr>
            <w:b/>
            <w:bCs/>
          </w:rPr>
          <w:t xml:space="preserve"> | </w:t>
        </w:r>
        <w:r>
          <w:rPr>
            <w:color w:val="7F7F7F" w:themeColor="background1" w:themeShade="7F"/>
            <w:spacing w:val="60"/>
          </w:rPr>
          <w:t>Page</w:t>
        </w:r>
      </w:p>
    </w:sdtContent>
  </w:sdt>
  <w:p w:rsidR="00246144" w:rsidRDefault="0024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0A" w:rsidRDefault="00AF0D0A" w:rsidP="00246144">
      <w:r>
        <w:separator/>
      </w:r>
    </w:p>
  </w:footnote>
  <w:footnote w:type="continuationSeparator" w:id="0">
    <w:p w:rsidR="00AF0D0A" w:rsidRDefault="00AF0D0A" w:rsidP="00246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5E6F"/>
    <w:multiLevelType w:val="multilevel"/>
    <w:tmpl w:val="360C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2C52"/>
    <w:multiLevelType w:val="multilevel"/>
    <w:tmpl w:val="EA44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735F3"/>
    <w:multiLevelType w:val="multilevel"/>
    <w:tmpl w:val="AE3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35A96"/>
    <w:multiLevelType w:val="multilevel"/>
    <w:tmpl w:val="1124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71E5D"/>
    <w:multiLevelType w:val="multilevel"/>
    <w:tmpl w:val="05CE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500B3"/>
    <w:multiLevelType w:val="multilevel"/>
    <w:tmpl w:val="FE1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669FC"/>
    <w:multiLevelType w:val="multilevel"/>
    <w:tmpl w:val="9198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D63CE"/>
    <w:multiLevelType w:val="multilevel"/>
    <w:tmpl w:val="2716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601C9"/>
    <w:multiLevelType w:val="multilevel"/>
    <w:tmpl w:val="6AE8C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F6A37"/>
    <w:multiLevelType w:val="multilevel"/>
    <w:tmpl w:val="15CA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25D10"/>
    <w:multiLevelType w:val="multilevel"/>
    <w:tmpl w:val="0962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37520"/>
    <w:multiLevelType w:val="multilevel"/>
    <w:tmpl w:val="2A6C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61EDE"/>
    <w:multiLevelType w:val="multilevel"/>
    <w:tmpl w:val="DAFE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765BE"/>
    <w:multiLevelType w:val="multilevel"/>
    <w:tmpl w:val="024C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41C18"/>
    <w:multiLevelType w:val="multilevel"/>
    <w:tmpl w:val="F856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C5285"/>
    <w:multiLevelType w:val="multilevel"/>
    <w:tmpl w:val="1398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E0DDA"/>
    <w:multiLevelType w:val="multilevel"/>
    <w:tmpl w:val="179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C309B"/>
    <w:multiLevelType w:val="multilevel"/>
    <w:tmpl w:val="F48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24CEB"/>
    <w:multiLevelType w:val="multilevel"/>
    <w:tmpl w:val="1AD6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B71F7"/>
    <w:multiLevelType w:val="multilevel"/>
    <w:tmpl w:val="CF7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F0F2E"/>
    <w:multiLevelType w:val="multilevel"/>
    <w:tmpl w:val="1016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C14AE"/>
    <w:multiLevelType w:val="multilevel"/>
    <w:tmpl w:val="0610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10890"/>
    <w:multiLevelType w:val="multilevel"/>
    <w:tmpl w:val="53B6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30962"/>
    <w:multiLevelType w:val="multilevel"/>
    <w:tmpl w:val="3580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2282B"/>
    <w:multiLevelType w:val="multilevel"/>
    <w:tmpl w:val="7CB4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E5DA1"/>
    <w:multiLevelType w:val="multilevel"/>
    <w:tmpl w:val="65B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E05A8"/>
    <w:multiLevelType w:val="multilevel"/>
    <w:tmpl w:val="420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566C9"/>
    <w:multiLevelType w:val="multilevel"/>
    <w:tmpl w:val="0A7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A35A3"/>
    <w:multiLevelType w:val="multilevel"/>
    <w:tmpl w:val="B9BC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D539A0"/>
    <w:multiLevelType w:val="multilevel"/>
    <w:tmpl w:val="CF5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14217"/>
    <w:multiLevelType w:val="multilevel"/>
    <w:tmpl w:val="58E2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75DDB"/>
    <w:multiLevelType w:val="multilevel"/>
    <w:tmpl w:val="A7E8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E3A44"/>
    <w:multiLevelType w:val="multilevel"/>
    <w:tmpl w:val="07F6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37BD1"/>
    <w:multiLevelType w:val="multilevel"/>
    <w:tmpl w:val="904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A3580"/>
    <w:multiLevelType w:val="multilevel"/>
    <w:tmpl w:val="724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92C09"/>
    <w:multiLevelType w:val="multilevel"/>
    <w:tmpl w:val="043A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02953"/>
    <w:multiLevelType w:val="multilevel"/>
    <w:tmpl w:val="26C6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CD284B"/>
    <w:multiLevelType w:val="multilevel"/>
    <w:tmpl w:val="1F66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F1817"/>
    <w:multiLevelType w:val="hybridMultilevel"/>
    <w:tmpl w:val="DF0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4593A"/>
    <w:multiLevelType w:val="multilevel"/>
    <w:tmpl w:val="7F46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39"/>
  </w:num>
  <w:num w:numId="4">
    <w:abstractNumId w:val="22"/>
  </w:num>
  <w:num w:numId="5">
    <w:abstractNumId w:val="10"/>
  </w:num>
  <w:num w:numId="6">
    <w:abstractNumId w:val="13"/>
  </w:num>
  <w:num w:numId="7">
    <w:abstractNumId w:val="14"/>
  </w:num>
  <w:num w:numId="8">
    <w:abstractNumId w:val="34"/>
  </w:num>
  <w:num w:numId="9">
    <w:abstractNumId w:val="5"/>
  </w:num>
  <w:num w:numId="10">
    <w:abstractNumId w:val="0"/>
  </w:num>
  <w:num w:numId="11">
    <w:abstractNumId w:val="31"/>
  </w:num>
  <w:num w:numId="12">
    <w:abstractNumId w:val="9"/>
  </w:num>
  <w:num w:numId="13">
    <w:abstractNumId w:val="3"/>
  </w:num>
  <w:num w:numId="14">
    <w:abstractNumId w:val="2"/>
  </w:num>
  <w:num w:numId="15">
    <w:abstractNumId w:val="19"/>
  </w:num>
  <w:num w:numId="16">
    <w:abstractNumId w:val="17"/>
  </w:num>
  <w:num w:numId="17">
    <w:abstractNumId w:val="15"/>
  </w:num>
  <w:num w:numId="18">
    <w:abstractNumId w:val="26"/>
  </w:num>
  <w:num w:numId="19">
    <w:abstractNumId w:val="27"/>
  </w:num>
  <w:num w:numId="20">
    <w:abstractNumId w:val="8"/>
  </w:num>
  <w:num w:numId="21">
    <w:abstractNumId w:val="29"/>
  </w:num>
  <w:num w:numId="22">
    <w:abstractNumId w:val="33"/>
  </w:num>
  <w:num w:numId="23">
    <w:abstractNumId w:val="1"/>
  </w:num>
  <w:num w:numId="24">
    <w:abstractNumId w:val="36"/>
  </w:num>
  <w:num w:numId="25">
    <w:abstractNumId w:val="16"/>
  </w:num>
  <w:num w:numId="26">
    <w:abstractNumId w:val="32"/>
  </w:num>
  <w:num w:numId="27">
    <w:abstractNumId w:val="25"/>
  </w:num>
  <w:num w:numId="28">
    <w:abstractNumId w:val="18"/>
  </w:num>
  <w:num w:numId="29">
    <w:abstractNumId w:val="37"/>
  </w:num>
  <w:num w:numId="30">
    <w:abstractNumId w:val="38"/>
  </w:num>
  <w:num w:numId="31">
    <w:abstractNumId w:val="6"/>
  </w:num>
  <w:num w:numId="32">
    <w:abstractNumId w:val="4"/>
  </w:num>
  <w:num w:numId="33">
    <w:abstractNumId w:val="23"/>
  </w:num>
  <w:num w:numId="34">
    <w:abstractNumId w:val="7"/>
  </w:num>
  <w:num w:numId="35">
    <w:abstractNumId w:val="21"/>
  </w:num>
  <w:num w:numId="36">
    <w:abstractNumId w:val="30"/>
  </w:num>
  <w:num w:numId="37">
    <w:abstractNumId w:val="11"/>
  </w:num>
  <w:num w:numId="38">
    <w:abstractNumId w:val="28"/>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6"/>
    <w:rsid w:val="00057AA4"/>
    <w:rsid w:val="00075E76"/>
    <w:rsid w:val="000D6F45"/>
    <w:rsid w:val="000E25F9"/>
    <w:rsid w:val="00117E01"/>
    <w:rsid w:val="001578AB"/>
    <w:rsid w:val="001E55BE"/>
    <w:rsid w:val="00246144"/>
    <w:rsid w:val="002904FF"/>
    <w:rsid w:val="002A3897"/>
    <w:rsid w:val="00323694"/>
    <w:rsid w:val="00336AC8"/>
    <w:rsid w:val="00360FC0"/>
    <w:rsid w:val="003625EE"/>
    <w:rsid w:val="003B148F"/>
    <w:rsid w:val="003C7188"/>
    <w:rsid w:val="003F5328"/>
    <w:rsid w:val="004276F8"/>
    <w:rsid w:val="00454BA4"/>
    <w:rsid w:val="00464C48"/>
    <w:rsid w:val="00466EBB"/>
    <w:rsid w:val="00476F76"/>
    <w:rsid w:val="00487B55"/>
    <w:rsid w:val="004B0F2A"/>
    <w:rsid w:val="004C4D54"/>
    <w:rsid w:val="004C76F5"/>
    <w:rsid w:val="004D0865"/>
    <w:rsid w:val="005305D2"/>
    <w:rsid w:val="00573235"/>
    <w:rsid w:val="00580F96"/>
    <w:rsid w:val="005A7DD0"/>
    <w:rsid w:val="005F4B4C"/>
    <w:rsid w:val="0061391F"/>
    <w:rsid w:val="00616295"/>
    <w:rsid w:val="00625B6B"/>
    <w:rsid w:val="006504CA"/>
    <w:rsid w:val="006C2513"/>
    <w:rsid w:val="006C5FE8"/>
    <w:rsid w:val="006F3A00"/>
    <w:rsid w:val="007200BC"/>
    <w:rsid w:val="007417D5"/>
    <w:rsid w:val="00751FCC"/>
    <w:rsid w:val="00756982"/>
    <w:rsid w:val="00757845"/>
    <w:rsid w:val="007A1EEB"/>
    <w:rsid w:val="007D08B3"/>
    <w:rsid w:val="00800BAD"/>
    <w:rsid w:val="00846C10"/>
    <w:rsid w:val="008B58FB"/>
    <w:rsid w:val="008D08F1"/>
    <w:rsid w:val="008E5496"/>
    <w:rsid w:val="008F596D"/>
    <w:rsid w:val="009033C6"/>
    <w:rsid w:val="0093565C"/>
    <w:rsid w:val="00940902"/>
    <w:rsid w:val="009458BA"/>
    <w:rsid w:val="009A349C"/>
    <w:rsid w:val="009A570E"/>
    <w:rsid w:val="009D0C93"/>
    <w:rsid w:val="009D1095"/>
    <w:rsid w:val="00A30ACF"/>
    <w:rsid w:val="00A54E77"/>
    <w:rsid w:val="00A82B5C"/>
    <w:rsid w:val="00A97E64"/>
    <w:rsid w:val="00AF0D0A"/>
    <w:rsid w:val="00B27DD1"/>
    <w:rsid w:val="00B452D2"/>
    <w:rsid w:val="00B51090"/>
    <w:rsid w:val="00B7319D"/>
    <w:rsid w:val="00B737BC"/>
    <w:rsid w:val="00B85099"/>
    <w:rsid w:val="00BD2526"/>
    <w:rsid w:val="00BF319A"/>
    <w:rsid w:val="00C23050"/>
    <w:rsid w:val="00C61004"/>
    <w:rsid w:val="00C66520"/>
    <w:rsid w:val="00C776A3"/>
    <w:rsid w:val="00CB41B4"/>
    <w:rsid w:val="00CB4E00"/>
    <w:rsid w:val="00D21E3F"/>
    <w:rsid w:val="00D87BD0"/>
    <w:rsid w:val="00D924EA"/>
    <w:rsid w:val="00DE484B"/>
    <w:rsid w:val="00E60AE6"/>
    <w:rsid w:val="00E81FE9"/>
    <w:rsid w:val="00EC12FE"/>
    <w:rsid w:val="00EF5602"/>
    <w:rsid w:val="00F108BB"/>
    <w:rsid w:val="00F42AA4"/>
    <w:rsid w:val="00F96637"/>
    <w:rsid w:val="00FB2EFF"/>
    <w:rsid w:val="00FB3E27"/>
    <w:rsid w:val="00FD1568"/>
    <w:rsid w:val="00FD207D"/>
    <w:rsid w:val="00FE2312"/>
    <w:rsid w:val="00FF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7EF87"/>
  <w15:chartTrackingRefBased/>
  <w15:docId w15:val="{0D3C9974-50AA-4BD0-94A3-7449DD27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496"/>
    <w:rPr>
      <w:color w:val="0563C1" w:themeColor="hyperlink"/>
      <w:u w:val="single"/>
    </w:rPr>
  </w:style>
  <w:style w:type="paragraph" w:styleId="Header">
    <w:name w:val="header"/>
    <w:basedOn w:val="Normal"/>
    <w:link w:val="HeaderChar"/>
    <w:uiPriority w:val="99"/>
    <w:unhideWhenUsed/>
    <w:rsid w:val="00246144"/>
    <w:pPr>
      <w:tabs>
        <w:tab w:val="center" w:pos="4680"/>
        <w:tab w:val="right" w:pos="9360"/>
      </w:tabs>
    </w:pPr>
  </w:style>
  <w:style w:type="character" w:customStyle="1" w:styleId="HeaderChar">
    <w:name w:val="Header Char"/>
    <w:basedOn w:val="DefaultParagraphFont"/>
    <w:link w:val="Header"/>
    <w:uiPriority w:val="99"/>
    <w:rsid w:val="00246144"/>
  </w:style>
  <w:style w:type="paragraph" w:styleId="Footer">
    <w:name w:val="footer"/>
    <w:basedOn w:val="Normal"/>
    <w:link w:val="FooterChar"/>
    <w:uiPriority w:val="99"/>
    <w:unhideWhenUsed/>
    <w:rsid w:val="00246144"/>
    <w:pPr>
      <w:tabs>
        <w:tab w:val="center" w:pos="4680"/>
        <w:tab w:val="right" w:pos="9360"/>
      </w:tabs>
    </w:pPr>
  </w:style>
  <w:style w:type="character" w:customStyle="1" w:styleId="FooterChar">
    <w:name w:val="Footer Char"/>
    <w:basedOn w:val="DefaultParagraphFont"/>
    <w:link w:val="Footer"/>
    <w:uiPriority w:val="99"/>
    <w:rsid w:val="00246144"/>
  </w:style>
  <w:style w:type="paragraph" w:styleId="ListParagraph">
    <w:name w:val="List Paragraph"/>
    <w:basedOn w:val="Normal"/>
    <w:uiPriority w:val="34"/>
    <w:qFormat/>
    <w:rsid w:val="0074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01294">
      <w:bodyDiv w:val="1"/>
      <w:marLeft w:val="0"/>
      <w:marRight w:val="0"/>
      <w:marTop w:val="0"/>
      <w:marBottom w:val="0"/>
      <w:divBdr>
        <w:top w:val="none" w:sz="0" w:space="0" w:color="auto"/>
        <w:left w:val="none" w:sz="0" w:space="0" w:color="auto"/>
        <w:bottom w:val="none" w:sz="0" w:space="0" w:color="auto"/>
        <w:right w:val="none" w:sz="0" w:space="0" w:color="auto"/>
      </w:divBdr>
    </w:div>
    <w:div w:id="542910424">
      <w:bodyDiv w:val="1"/>
      <w:marLeft w:val="0"/>
      <w:marRight w:val="0"/>
      <w:marTop w:val="0"/>
      <w:marBottom w:val="0"/>
      <w:divBdr>
        <w:top w:val="none" w:sz="0" w:space="0" w:color="auto"/>
        <w:left w:val="none" w:sz="0" w:space="0" w:color="auto"/>
        <w:bottom w:val="none" w:sz="0" w:space="0" w:color="auto"/>
        <w:right w:val="none" w:sz="0" w:space="0" w:color="auto"/>
      </w:divBdr>
    </w:div>
    <w:div w:id="819617460">
      <w:bodyDiv w:val="1"/>
      <w:marLeft w:val="0"/>
      <w:marRight w:val="0"/>
      <w:marTop w:val="0"/>
      <w:marBottom w:val="0"/>
      <w:divBdr>
        <w:top w:val="none" w:sz="0" w:space="0" w:color="auto"/>
        <w:left w:val="none" w:sz="0" w:space="0" w:color="auto"/>
        <w:bottom w:val="none" w:sz="0" w:space="0" w:color="auto"/>
        <w:right w:val="none" w:sz="0" w:space="0" w:color="auto"/>
      </w:divBdr>
    </w:div>
    <w:div w:id="917059148">
      <w:bodyDiv w:val="1"/>
      <w:marLeft w:val="0"/>
      <w:marRight w:val="0"/>
      <w:marTop w:val="0"/>
      <w:marBottom w:val="0"/>
      <w:divBdr>
        <w:top w:val="none" w:sz="0" w:space="0" w:color="auto"/>
        <w:left w:val="none" w:sz="0" w:space="0" w:color="auto"/>
        <w:bottom w:val="none" w:sz="0" w:space="0" w:color="auto"/>
        <w:right w:val="none" w:sz="0" w:space="0" w:color="auto"/>
      </w:divBdr>
    </w:div>
    <w:div w:id="999623979">
      <w:bodyDiv w:val="1"/>
      <w:marLeft w:val="0"/>
      <w:marRight w:val="0"/>
      <w:marTop w:val="0"/>
      <w:marBottom w:val="0"/>
      <w:divBdr>
        <w:top w:val="none" w:sz="0" w:space="0" w:color="auto"/>
        <w:left w:val="none" w:sz="0" w:space="0" w:color="auto"/>
        <w:bottom w:val="none" w:sz="0" w:space="0" w:color="auto"/>
        <w:right w:val="none" w:sz="0" w:space="0" w:color="auto"/>
      </w:divBdr>
    </w:div>
    <w:div w:id="1218737536">
      <w:bodyDiv w:val="1"/>
      <w:marLeft w:val="0"/>
      <w:marRight w:val="0"/>
      <w:marTop w:val="0"/>
      <w:marBottom w:val="0"/>
      <w:divBdr>
        <w:top w:val="none" w:sz="0" w:space="0" w:color="auto"/>
        <w:left w:val="none" w:sz="0" w:space="0" w:color="auto"/>
        <w:bottom w:val="none" w:sz="0" w:space="0" w:color="auto"/>
        <w:right w:val="none" w:sz="0" w:space="0" w:color="auto"/>
      </w:divBdr>
    </w:div>
    <w:div w:id="1698239571">
      <w:bodyDiv w:val="1"/>
      <w:marLeft w:val="0"/>
      <w:marRight w:val="0"/>
      <w:marTop w:val="0"/>
      <w:marBottom w:val="0"/>
      <w:divBdr>
        <w:top w:val="none" w:sz="0" w:space="0" w:color="auto"/>
        <w:left w:val="none" w:sz="0" w:space="0" w:color="auto"/>
        <w:bottom w:val="none" w:sz="0" w:space="0" w:color="auto"/>
        <w:right w:val="none" w:sz="0" w:space="0" w:color="auto"/>
      </w:divBdr>
    </w:div>
    <w:div w:id="19515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about" TargetMode="External"/><Relationship Id="rId13" Type="http://schemas.openxmlformats.org/officeDocument/2006/relationships/hyperlink" Target="https://policy.ucop.edu/doc/4000376/DiscHarassAffirmA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ucop.edu/" TargetMode="External"/><Relationship Id="rId12" Type="http://schemas.openxmlformats.org/officeDocument/2006/relationships/hyperlink" Target="https://policy.ucop.edu/doc/5000695/SARS-CoV-2_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op.edu/safety-and-loss-prevention/environmental/program-resources/uc-smoke-free/uc-smoke-tobacco-free.html" TargetMode="External"/><Relationship Id="rId5" Type="http://schemas.openxmlformats.org/officeDocument/2006/relationships/footnotes" Target="footnotes.xml"/><Relationship Id="rId15" Type="http://schemas.openxmlformats.org/officeDocument/2006/relationships/hyperlink" Target="mailto:epost@ucop.edu" TargetMode="External"/><Relationship Id="rId10" Type="http://schemas.openxmlformats.org/officeDocument/2006/relationships/hyperlink" Target="https://www.ucop.edu/local-human-resources/manager-resources/hiring-process/background-checks.html" TargetMode="External"/><Relationship Id="rId4" Type="http://schemas.openxmlformats.org/officeDocument/2006/relationships/webSettings" Target="webSettings.xml"/><Relationship Id="rId9" Type="http://schemas.openxmlformats.org/officeDocument/2006/relationships/hyperlink" Target="https://ucnet.universityofcalifornia.edu/compensation-and-benefits/benefits-of-belonging.html" TargetMode="External"/><Relationship Id="rId14" Type="http://schemas.openxmlformats.org/officeDocument/2006/relationships/hyperlink" Target="https://www.ucop.edu/accessibil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Martin</dc:creator>
  <cp:keywords/>
  <dc:description/>
  <cp:lastModifiedBy>Connie Martin</cp:lastModifiedBy>
  <cp:revision>2</cp:revision>
  <dcterms:created xsi:type="dcterms:W3CDTF">2022-11-18T14:07:00Z</dcterms:created>
  <dcterms:modified xsi:type="dcterms:W3CDTF">2022-11-18T14:07:00Z</dcterms:modified>
</cp:coreProperties>
</file>